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746" w:rsidRPr="0024481E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481E">
        <w:rPr>
          <w:rFonts w:ascii="Times New Roman" w:hAnsi="Times New Roman" w:cs="Times New Roman"/>
          <w:b/>
          <w:sz w:val="32"/>
          <w:szCs w:val="28"/>
        </w:rPr>
        <w:t>Тарифы на электрическую энергию, поставляемую</w:t>
      </w:r>
    </w:p>
    <w:p w:rsidR="00851746" w:rsidRPr="0024481E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481E">
        <w:rPr>
          <w:rFonts w:ascii="Times New Roman" w:hAnsi="Times New Roman" w:cs="Times New Roman"/>
          <w:b/>
          <w:sz w:val="32"/>
          <w:szCs w:val="28"/>
        </w:rPr>
        <w:t>населению и приравненным к нему категориям потребителей</w:t>
      </w:r>
    </w:p>
    <w:p w:rsidR="00851746" w:rsidRPr="0024481E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481E">
        <w:rPr>
          <w:rFonts w:ascii="Times New Roman" w:hAnsi="Times New Roman" w:cs="Times New Roman"/>
          <w:b/>
          <w:sz w:val="32"/>
          <w:szCs w:val="28"/>
        </w:rPr>
        <w:t>в субъектах Центрального федерального округа, на 202</w:t>
      </w:r>
      <w:r w:rsidR="00925F69">
        <w:rPr>
          <w:rFonts w:ascii="Times New Roman" w:hAnsi="Times New Roman" w:cs="Times New Roman"/>
          <w:b/>
          <w:sz w:val="32"/>
          <w:szCs w:val="28"/>
        </w:rPr>
        <w:t>5</w:t>
      </w:r>
      <w:r w:rsidRPr="0024481E">
        <w:rPr>
          <w:rFonts w:ascii="Times New Roman" w:hAnsi="Times New Roman" w:cs="Times New Roman"/>
          <w:b/>
          <w:sz w:val="32"/>
          <w:szCs w:val="28"/>
        </w:rPr>
        <w:t xml:space="preserve"> год </w:t>
      </w:r>
    </w:p>
    <w:p w:rsidR="00851746" w:rsidRPr="00B31EAB" w:rsidRDefault="00851746" w:rsidP="000E21B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0E21B8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Одноставочный тариф</w:t>
      </w:r>
    </w:p>
    <w:p w:rsidR="000E21B8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группы "Население, проживающее в городских населенных пунктах</w:t>
      </w:r>
    </w:p>
    <w:p w:rsidR="000E21B8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домах, оборудованных в установленном порядке газовыми плитами"</w:t>
      </w:r>
    </w:p>
    <w:p w:rsidR="00851746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для первого диапазона объемов потребления электрической энергии (мощности))</w:t>
      </w:r>
    </w:p>
    <w:p w:rsidR="00851746" w:rsidRPr="00B31EAB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9E081D" w:rsidRDefault="000E21B8" w:rsidP="0085174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руб./кВт·ч</w:t>
      </w:r>
      <w:r w:rsidRPr="00B31E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51746" w:rsidRPr="00B31EAB">
        <w:rPr>
          <w:rFonts w:ascii="Times New Roman" w:hAnsi="Times New Roman" w:cs="Times New Roman"/>
          <w:sz w:val="28"/>
          <w:szCs w:val="28"/>
        </w:rPr>
        <w:t>с НДС)</w:t>
      </w:r>
    </w:p>
    <w:p w:rsidR="00C01046" w:rsidRDefault="001E0F45" w:rsidP="000E21B8">
      <w:pPr>
        <w:ind w:left="-1276"/>
        <w:jc w:val="both"/>
      </w:pPr>
      <w:r>
        <w:rPr>
          <w:noProof/>
          <w:lang w:eastAsia="ru-RU"/>
        </w:rPr>
        <w:drawing>
          <wp:inline distT="0" distB="0" distL="0" distR="0" wp14:anchorId="51586092" wp14:editId="09BF022F">
            <wp:extent cx="7077075" cy="31813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01046" w:rsidRDefault="00C01046" w:rsidP="00C01046"/>
    <w:p w:rsidR="00851746" w:rsidRPr="00C01046" w:rsidRDefault="00C01046" w:rsidP="00C01046">
      <w:pPr>
        <w:tabs>
          <w:tab w:val="left" w:pos="2265"/>
        </w:tabs>
      </w:pPr>
      <w:r>
        <w:tab/>
      </w:r>
      <w:bookmarkStart w:id="0" w:name="_GoBack"/>
      <w:bookmarkEnd w:id="0"/>
    </w:p>
    <w:sectPr w:rsidR="00851746" w:rsidRPr="00C01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6E"/>
    <w:rsid w:val="000E21B8"/>
    <w:rsid w:val="001E0F45"/>
    <w:rsid w:val="00207140"/>
    <w:rsid w:val="00214204"/>
    <w:rsid w:val="0024481E"/>
    <w:rsid w:val="00380F13"/>
    <w:rsid w:val="00851746"/>
    <w:rsid w:val="008A466E"/>
    <w:rsid w:val="00925F69"/>
    <w:rsid w:val="009E081D"/>
    <w:rsid w:val="00A24FAB"/>
    <w:rsid w:val="00C0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с 01.01.2025</c:v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7"/>
            <c:invertIfNegative val="0"/>
            <c:bubble3D val="0"/>
            <c:spPr>
              <a:solidFill>
                <a:srgbClr val="0099FF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4FEE-451C-BC2D-22FB0A5CD43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accent1">
                        <a:lumMod val="50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'Диаграмма 2025'!$C$4:$C$21</c:f>
              <c:strCache>
                <c:ptCount val="18"/>
                <c:pt idx="0">
                  <c:v>Ярославская область</c:v>
                </c:pt>
                <c:pt idx="1">
                  <c:v>Липецкая область</c:v>
                </c:pt>
                <c:pt idx="2">
                  <c:v>Курская область</c:v>
                </c:pt>
                <c:pt idx="3">
                  <c:v>Брянская область</c:v>
                </c:pt>
                <c:pt idx="4">
                  <c:v>Тверская область</c:v>
                </c:pt>
                <c:pt idx="5">
                  <c:v>Орловская область</c:v>
                </c:pt>
                <c:pt idx="6">
                  <c:v>Воронежская область</c:v>
                </c:pt>
                <c:pt idx="7">
                  <c:v>Смоленская область</c:v>
                </c:pt>
                <c:pt idx="8">
                  <c:v>Белгородская область</c:v>
                </c:pt>
                <c:pt idx="9">
                  <c:v>Тамбовская область</c:v>
                </c:pt>
                <c:pt idx="10">
                  <c:v>Костромская область</c:v>
                </c:pt>
                <c:pt idx="11">
                  <c:v>Тульская область</c:v>
                </c:pt>
                <c:pt idx="12">
                  <c:v>Владимирская область</c:v>
                </c:pt>
                <c:pt idx="13">
                  <c:v>Ивановская область</c:v>
                </c:pt>
                <c:pt idx="14">
                  <c:v>Рязанская область</c:v>
                </c:pt>
                <c:pt idx="15">
                  <c:v>Калужская область</c:v>
                </c:pt>
                <c:pt idx="16">
                  <c:v>г. Москва</c:v>
                </c:pt>
                <c:pt idx="17">
                  <c:v>Московская область</c:v>
                </c:pt>
              </c:strCache>
            </c:strRef>
          </c:cat>
          <c:val>
            <c:numRef>
              <c:f>'Диаграмма 2025'!$D$4:$D$21</c:f>
              <c:numCache>
                <c:formatCode>0.00</c:formatCode>
                <c:ptCount val="18"/>
                <c:pt idx="0">
                  <c:v>4.95</c:v>
                </c:pt>
                <c:pt idx="1">
                  <c:v>5.04</c:v>
                </c:pt>
                <c:pt idx="2">
                  <c:v>5.14</c:v>
                </c:pt>
                <c:pt idx="3">
                  <c:v>5.17</c:v>
                </c:pt>
                <c:pt idx="4">
                  <c:v>5.21</c:v>
                </c:pt>
                <c:pt idx="5">
                  <c:v>5.22</c:v>
                </c:pt>
                <c:pt idx="6">
                  <c:v>5.27</c:v>
                </c:pt>
                <c:pt idx="7">
                  <c:v>5.29</c:v>
                </c:pt>
                <c:pt idx="8">
                  <c:v>5.33</c:v>
                </c:pt>
                <c:pt idx="9">
                  <c:v>5.34</c:v>
                </c:pt>
                <c:pt idx="10">
                  <c:v>5.92</c:v>
                </c:pt>
                <c:pt idx="11">
                  <c:v>5.98</c:v>
                </c:pt>
                <c:pt idx="12">
                  <c:v>6.16</c:v>
                </c:pt>
                <c:pt idx="13">
                  <c:v>6.19</c:v>
                </c:pt>
                <c:pt idx="14">
                  <c:v>6.33</c:v>
                </c:pt>
                <c:pt idx="15">
                  <c:v>6.54</c:v>
                </c:pt>
                <c:pt idx="16">
                  <c:v>6.99</c:v>
                </c:pt>
                <c:pt idx="17">
                  <c:v>7.33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298-42AB-8157-358C7421CFE0}"/>
            </c:ext>
          </c:extLst>
        </c:ser>
        <c:ser>
          <c:idx val="1"/>
          <c:order val="1"/>
          <c:tx>
            <c:v>с 01.07.2025</c:v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7"/>
            <c:invertIfNegative val="0"/>
            <c:bubble3D val="0"/>
            <c:spPr>
              <a:solidFill>
                <a:srgbClr val="FF33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4FEE-451C-BC2D-22FB0A5CD43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'Диаграмма 2025'!$C$4:$C$21</c:f>
              <c:strCache>
                <c:ptCount val="18"/>
                <c:pt idx="0">
                  <c:v>Ярославская область</c:v>
                </c:pt>
                <c:pt idx="1">
                  <c:v>Липецкая область</c:v>
                </c:pt>
                <c:pt idx="2">
                  <c:v>Курская область</c:v>
                </c:pt>
                <c:pt idx="3">
                  <c:v>Брянская область</c:v>
                </c:pt>
                <c:pt idx="4">
                  <c:v>Тверская область</c:v>
                </c:pt>
                <c:pt idx="5">
                  <c:v>Орловская область</c:v>
                </c:pt>
                <c:pt idx="6">
                  <c:v>Воронежская область</c:v>
                </c:pt>
                <c:pt idx="7">
                  <c:v>Смоленская область</c:v>
                </c:pt>
                <c:pt idx="8">
                  <c:v>Белгородская область</c:v>
                </c:pt>
                <c:pt idx="9">
                  <c:v>Тамбовская область</c:v>
                </c:pt>
                <c:pt idx="10">
                  <c:v>Костромская область</c:v>
                </c:pt>
                <c:pt idx="11">
                  <c:v>Тульская область</c:v>
                </c:pt>
                <c:pt idx="12">
                  <c:v>Владимирская область</c:v>
                </c:pt>
                <c:pt idx="13">
                  <c:v>Ивановская область</c:v>
                </c:pt>
                <c:pt idx="14">
                  <c:v>Рязанская область</c:v>
                </c:pt>
                <c:pt idx="15">
                  <c:v>Калужская область</c:v>
                </c:pt>
                <c:pt idx="16">
                  <c:v>г. Москва</c:v>
                </c:pt>
                <c:pt idx="17">
                  <c:v>Московская область</c:v>
                </c:pt>
              </c:strCache>
            </c:strRef>
          </c:cat>
          <c:val>
            <c:numRef>
              <c:f>'Диаграмма 2025'!$E$4:$E$21</c:f>
              <c:numCache>
                <c:formatCode>0.00</c:formatCode>
                <c:ptCount val="18"/>
                <c:pt idx="0">
                  <c:v>5.57</c:v>
                </c:pt>
                <c:pt idx="1">
                  <c:v>5.68</c:v>
                </c:pt>
                <c:pt idx="2">
                  <c:v>5.78</c:v>
                </c:pt>
                <c:pt idx="3">
                  <c:v>5.81</c:v>
                </c:pt>
                <c:pt idx="4">
                  <c:v>5.86</c:v>
                </c:pt>
                <c:pt idx="5">
                  <c:v>5.88</c:v>
                </c:pt>
                <c:pt idx="6">
                  <c:v>5.92</c:v>
                </c:pt>
                <c:pt idx="7">
                  <c:v>5.96</c:v>
                </c:pt>
                <c:pt idx="8">
                  <c:v>6</c:v>
                </c:pt>
                <c:pt idx="9">
                  <c:v>6.01</c:v>
                </c:pt>
                <c:pt idx="10">
                  <c:v>6.67</c:v>
                </c:pt>
                <c:pt idx="11">
                  <c:v>6.73</c:v>
                </c:pt>
                <c:pt idx="12">
                  <c:v>6.93</c:v>
                </c:pt>
                <c:pt idx="13">
                  <c:v>6.97</c:v>
                </c:pt>
                <c:pt idx="14">
                  <c:v>7.13</c:v>
                </c:pt>
                <c:pt idx="15">
                  <c:v>7.36</c:v>
                </c:pt>
                <c:pt idx="16">
                  <c:v>7.87</c:v>
                </c:pt>
                <c:pt idx="17">
                  <c:v>8.25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298-42AB-8157-358C7421CF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5"/>
        <c:axId val="147867904"/>
        <c:axId val="167905152"/>
      </c:barChart>
      <c:catAx>
        <c:axId val="147867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67905152"/>
        <c:crosses val="autoZero"/>
        <c:auto val="1"/>
        <c:lblAlgn val="ctr"/>
        <c:lblOffset val="100"/>
        <c:noMultiLvlLbl val="0"/>
      </c:catAx>
      <c:valAx>
        <c:axId val="1679051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bg1">
                    <a:lumMod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47867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sz="8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F8598-6C31-435C-BA2A-F5516BE31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Куриленкова Светлана Евгеньевна</dc:creator>
  <cp:keywords/>
  <dc:description/>
  <cp:lastModifiedBy>Светланка</cp:lastModifiedBy>
  <cp:revision>7</cp:revision>
  <dcterms:created xsi:type="dcterms:W3CDTF">2024-03-20T12:01:00Z</dcterms:created>
  <dcterms:modified xsi:type="dcterms:W3CDTF">2025-01-21T19:53:00Z</dcterms:modified>
</cp:coreProperties>
</file>